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683" w:rsidRDefault="00FE3879" w:rsidP="00FE3879">
      <w:pPr>
        <w:rPr>
          <w:b/>
          <w:sz w:val="24"/>
          <w:szCs w:val="24"/>
        </w:rPr>
      </w:pPr>
      <w:r>
        <w:rPr>
          <w:b/>
          <w:sz w:val="24"/>
          <w:szCs w:val="24"/>
        </w:rPr>
        <w:t xml:space="preserve">Hancock Central School   </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9C5ED0">
        <w:rPr>
          <w:b/>
          <w:sz w:val="24"/>
          <w:szCs w:val="24"/>
        </w:rPr>
        <w:t>40</w:t>
      </w:r>
      <w:r w:rsidR="006E678D">
        <w:rPr>
          <w:b/>
          <w:sz w:val="24"/>
          <w:szCs w:val="24"/>
        </w:rPr>
        <w:t>1</w:t>
      </w:r>
      <w:r w:rsidR="000D7683">
        <w:rPr>
          <w:b/>
          <w:sz w:val="24"/>
          <w:szCs w:val="24"/>
        </w:rPr>
        <w:t>0</w:t>
      </w:r>
    </w:p>
    <w:p w:rsidR="00EC3A39" w:rsidRDefault="00715DA4" w:rsidP="006E678D">
      <w:pPr>
        <w:ind w:firstLine="720"/>
        <w:jc w:val="center"/>
        <w:rPr>
          <w:b/>
          <w:sz w:val="24"/>
          <w:szCs w:val="24"/>
        </w:rPr>
      </w:pPr>
      <w:bookmarkStart w:id="0" w:name="_GoBack"/>
      <w:r>
        <w:rPr>
          <w:b/>
          <w:sz w:val="24"/>
          <w:szCs w:val="24"/>
        </w:rPr>
        <w:t>EQUIVALE</w:t>
      </w:r>
      <w:r w:rsidR="006E678D">
        <w:rPr>
          <w:b/>
          <w:sz w:val="24"/>
          <w:szCs w:val="24"/>
        </w:rPr>
        <w:t>NCE</w:t>
      </w:r>
      <w:bookmarkEnd w:id="0"/>
      <w:r w:rsidR="006E678D">
        <w:rPr>
          <w:b/>
          <w:sz w:val="24"/>
          <w:szCs w:val="24"/>
        </w:rPr>
        <w:t xml:space="preserve"> IN INSTRUCTIONAL STAFF AND MATERIALS</w:t>
      </w:r>
    </w:p>
    <w:p w:rsidR="009C5ED0" w:rsidRDefault="00E92FB2" w:rsidP="006E678D">
      <w:pPr>
        <w:rPr>
          <w:sz w:val="24"/>
          <w:szCs w:val="24"/>
        </w:rPr>
      </w:pPr>
      <w:r>
        <w:rPr>
          <w:sz w:val="24"/>
          <w:szCs w:val="24"/>
        </w:rPr>
        <w:tab/>
      </w:r>
      <w:r w:rsidR="006E678D">
        <w:rPr>
          <w:sz w:val="24"/>
          <w:szCs w:val="24"/>
        </w:rPr>
        <w:t xml:space="preserve">In accordance with federal regulations, the Board of Education will ensure equivalence among district schools in teachers, administrators, and auxiliary personnel; and in the provision of curricular materials and instructional supplies.  The Superintendent of Schools shall follow the State Education department guidelines in determining such equivalence on an annual basis, and report to the board on the status of district schools with regard to equivalence.  </w:t>
      </w:r>
    </w:p>
    <w:p w:rsidR="006E678D" w:rsidRDefault="006E678D" w:rsidP="006E678D">
      <w:pPr>
        <w:rPr>
          <w:sz w:val="24"/>
          <w:szCs w:val="24"/>
        </w:rPr>
      </w:pPr>
    </w:p>
    <w:p w:rsidR="006E678D" w:rsidRDefault="006E678D" w:rsidP="006E678D">
      <w:pPr>
        <w:rPr>
          <w:sz w:val="24"/>
          <w:szCs w:val="24"/>
        </w:rPr>
      </w:pPr>
      <w:r>
        <w:rPr>
          <w:sz w:val="24"/>
          <w:szCs w:val="24"/>
        </w:rPr>
        <w:t>Cross-ref:   4325, Compensatory Education</w:t>
      </w:r>
    </w:p>
    <w:p w:rsidR="006E678D" w:rsidRDefault="006E678D" w:rsidP="006E678D">
      <w:pPr>
        <w:rPr>
          <w:sz w:val="24"/>
          <w:szCs w:val="24"/>
        </w:rPr>
      </w:pPr>
      <w:r>
        <w:rPr>
          <w:sz w:val="24"/>
          <w:szCs w:val="24"/>
        </w:rPr>
        <w:t>Ref:   34 CFR §200.43</w:t>
      </w:r>
      <w:r w:rsidR="00490493">
        <w:rPr>
          <w:sz w:val="24"/>
          <w:szCs w:val="24"/>
        </w:rPr>
        <w:t>(c) (1) (i) (ESEA Chapter 1 Program in Local educational Agencies)</w:t>
      </w:r>
    </w:p>
    <w:p w:rsidR="00490493" w:rsidRDefault="00490493" w:rsidP="006E678D">
      <w:r>
        <w:rPr>
          <w:sz w:val="24"/>
          <w:szCs w:val="24"/>
        </w:rPr>
        <w:t>State Education Department, Office of School Improvement Grants Management and Compliance, Consolidated Application and Applicant’s Guide and Instructions for Consolidated Application</w:t>
      </w:r>
    </w:p>
    <w:p w:rsidR="009C5ED0" w:rsidRDefault="009C5ED0" w:rsidP="003D1572">
      <w:pPr>
        <w:rPr>
          <w:sz w:val="24"/>
          <w:szCs w:val="24"/>
        </w:rPr>
      </w:pPr>
    </w:p>
    <w:p w:rsidR="009C5ED0" w:rsidRDefault="009C5ED0" w:rsidP="003D1572">
      <w:pPr>
        <w:rPr>
          <w:sz w:val="24"/>
          <w:szCs w:val="24"/>
        </w:rPr>
      </w:pPr>
    </w:p>
    <w:p w:rsidR="009C5ED0" w:rsidRDefault="009C5ED0" w:rsidP="003D1572">
      <w:pPr>
        <w:rPr>
          <w:sz w:val="24"/>
          <w:szCs w:val="24"/>
        </w:rPr>
      </w:pPr>
    </w:p>
    <w:p w:rsidR="00613FCD" w:rsidRDefault="00AD52CA" w:rsidP="003D1572">
      <w:pPr>
        <w:rPr>
          <w:sz w:val="24"/>
          <w:szCs w:val="24"/>
        </w:rPr>
      </w:pPr>
      <w:r>
        <w:rPr>
          <w:sz w:val="24"/>
          <w:szCs w:val="24"/>
        </w:rPr>
        <w:t>Adopted:  09/</w:t>
      </w:r>
      <w:r w:rsidR="009C5ED0">
        <w:rPr>
          <w:sz w:val="24"/>
          <w:szCs w:val="24"/>
        </w:rPr>
        <w:t>27</w:t>
      </w:r>
      <w:r>
        <w:rPr>
          <w:sz w:val="24"/>
          <w:szCs w:val="24"/>
        </w:rPr>
        <w:t>/1993</w:t>
      </w:r>
    </w:p>
    <w:p w:rsidR="000D7683" w:rsidRPr="000D7683" w:rsidRDefault="00C76491" w:rsidP="009C5ED0">
      <w:pPr>
        <w:rPr>
          <w:b/>
          <w:sz w:val="24"/>
          <w:szCs w:val="24"/>
        </w:rPr>
      </w:pPr>
      <w:r w:rsidRPr="003D1572">
        <w:rPr>
          <w:sz w:val="24"/>
          <w:szCs w:val="24"/>
        </w:rPr>
        <w:t xml:space="preserve"> </w:t>
      </w:r>
    </w:p>
    <w:sectPr w:rsidR="000D7683" w:rsidRPr="000D7683" w:rsidSect="00EC3A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44680"/>
    <w:multiLevelType w:val="hybridMultilevel"/>
    <w:tmpl w:val="F7E6DC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B4079A3"/>
    <w:multiLevelType w:val="hybridMultilevel"/>
    <w:tmpl w:val="194CCC0C"/>
    <w:lvl w:ilvl="0" w:tplc="0B787B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3091C04"/>
    <w:multiLevelType w:val="hybridMultilevel"/>
    <w:tmpl w:val="4EB4C8CE"/>
    <w:lvl w:ilvl="0" w:tplc="FB8026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5B4F1F"/>
    <w:multiLevelType w:val="hybridMultilevel"/>
    <w:tmpl w:val="A88EE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683"/>
    <w:rsid w:val="000A6BAE"/>
    <w:rsid w:val="000D7683"/>
    <w:rsid w:val="00276971"/>
    <w:rsid w:val="00305E54"/>
    <w:rsid w:val="00354F9C"/>
    <w:rsid w:val="003D1572"/>
    <w:rsid w:val="00490493"/>
    <w:rsid w:val="00613FCD"/>
    <w:rsid w:val="006A2B5A"/>
    <w:rsid w:val="006E678D"/>
    <w:rsid w:val="00715DA4"/>
    <w:rsid w:val="00723608"/>
    <w:rsid w:val="00765C49"/>
    <w:rsid w:val="008E41C5"/>
    <w:rsid w:val="009C5ED0"/>
    <w:rsid w:val="00AD52CA"/>
    <w:rsid w:val="00B17651"/>
    <w:rsid w:val="00C3006D"/>
    <w:rsid w:val="00C76491"/>
    <w:rsid w:val="00DE3C26"/>
    <w:rsid w:val="00DE6B34"/>
    <w:rsid w:val="00E70B83"/>
    <w:rsid w:val="00E92FB2"/>
    <w:rsid w:val="00EC3A39"/>
    <w:rsid w:val="00FE3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FB2"/>
    <w:pPr>
      <w:ind w:left="720"/>
      <w:contextualSpacing/>
    </w:pPr>
  </w:style>
  <w:style w:type="paragraph" w:styleId="NoSpacing">
    <w:name w:val="No Spacing"/>
    <w:uiPriority w:val="1"/>
    <w:qFormat/>
    <w:rsid w:val="009C5E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jgill</dc:creator>
  <cp:lastModifiedBy>efrair</cp:lastModifiedBy>
  <cp:revision>2</cp:revision>
  <dcterms:created xsi:type="dcterms:W3CDTF">2012-05-09T00:56:00Z</dcterms:created>
  <dcterms:modified xsi:type="dcterms:W3CDTF">2012-05-09T00:56:00Z</dcterms:modified>
</cp:coreProperties>
</file>