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7452AF" w:rsidP="007452A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A6B">
        <w:rPr>
          <w:b/>
          <w:sz w:val="24"/>
          <w:szCs w:val="24"/>
        </w:rPr>
        <w:t>1530</w:t>
      </w:r>
    </w:p>
    <w:p w:rsidR="00C84ECE" w:rsidRDefault="00B63A6B" w:rsidP="00B63A6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SMOKING ON SCHOOL PREMISES</w:t>
      </w:r>
    </w:p>
    <w:p w:rsidR="00B63A6B" w:rsidRDefault="00B63A6B" w:rsidP="00B63A6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Due to the health hazards associated with smoking, and in accordance with state law, </w:t>
      </w:r>
      <w:r w:rsidR="00930A11">
        <w:rPr>
          <w:sz w:val="24"/>
          <w:szCs w:val="24"/>
        </w:rPr>
        <w:t>the Board of Education prohibits smoking in the following places:</w:t>
      </w:r>
    </w:p>
    <w:p w:rsidR="00930A11" w:rsidRDefault="00930A11" w:rsidP="00930A1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Auditoriums</w:t>
      </w:r>
    </w:p>
    <w:p w:rsidR="00930A11" w:rsidRDefault="00930A11" w:rsidP="00930A1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Gymnasiums</w:t>
      </w:r>
    </w:p>
    <w:p w:rsidR="00930A11" w:rsidRDefault="00930A11" w:rsidP="00930A1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Restrooms</w:t>
      </w:r>
    </w:p>
    <w:p w:rsidR="00930A11" w:rsidRDefault="00930A11" w:rsidP="00930A1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Elevators</w:t>
      </w:r>
    </w:p>
    <w:p w:rsidR="00930A11" w:rsidRDefault="00930A11" w:rsidP="00930A1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Classrooms</w:t>
      </w:r>
    </w:p>
    <w:p w:rsidR="00930A11" w:rsidRDefault="00930A11" w:rsidP="00930A1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Hallways</w:t>
      </w:r>
    </w:p>
    <w:p w:rsidR="00930A11" w:rsidRDefault="00930A11" w:rsidP="00930A11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Areas containing photocopying equipment or other office-related equipment used in common</w:t>
      </w:r>
    </w:p>
    <w:p w:rsidR="00930A11" w:rsidRDefault="00930A11" w:rsidP="00930A11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Smoking is also prohibited in conference and meeting rooms unless everyone in those rooms agrees to permit it.</w:t>
      </w:r>
    </w:p>
    <w:p w:rsidR="007F20C5" w:rsidRDefault="00930A11" w:rsidP="00930A11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Contiguous non-smoking areas provided in employee cafeterias, lunch rooms and lounges shall be suff</w:t>
      </w:r>
      <w:r w:rsidR="007F20C5">
        <w:rPr>
          <w:sz w:val="24"/>
          <w:szCs w:val="24"/>
        </w:rPr>
        <w:t>icient to meet employee demand.  As a general rule, 70% of indoor seating capacity designated as non-smoking will be deemed to meet such demand.</w:t>
      </w:r>
    </w:p>
    <w:p w:rsidR="00930A11" w:rsidRDefault="007F20C5" w:rsidP="00930A11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The Board policy on smoking shall be prominently posted in the Central Office.  Pursuant to the</w:t>
      </w:r>
      <w:r w:rsidR="00930A11">
        <w:rPr>
          <w:sz w:val="24"/>
          <w:szCs w:val="24"/>
        </w:rPr>
        <w:t xml:space="preserve"> </w:t>
      </w:r>
      <w:r>
        <w:rPr>
          <w:sz w:val="24"/>
          <w:szCs w:val="24"/>
        </w:rPr>
        <w:t>law, the Board designates the Superintendent of Schools as agent responsible for informing individuals smoking in a non-smoking area that they are in violation of Article 13 of the Public Health Law.</w:t>
      </w:r>
    </w:p>
    <w:p w:rsidR="007F20C5" w:rsidRDefault="007F20C5" w:rsidP="007F20C5">
      <w:pPr>
        <w:spacing w:after="120"/>
        <w:rPr>
          <w:sz w:val="24"/>
          <w:szCs w:val="24"/>
        </w:rPr>
      </w:pPr>
    </w:p>
    <w:p w:rsidR="007F20C5" w:rsidRDefault="007F20C5" w:rsidP="007F20C5">
      <w:pPr>
        <w:spacing w:after="120"/>
        <w:rPr>
          <w:sz w:val="24"/>
          <w:szCs w:val="24"/>
        </w:rPr>
      </w:pPr>
      <w:r>
        <w:rPr>
          <w:sz w:val="24"/>
          <w:szCs w:val="24"/>
        </w:rPr>
        <w:t>Cross-Ref:</w:t>
      </w:r>
      <w:r>
        <w:rPr>
          <w:sz w:val="24"/>
          <w:szCs w:val="24"/>
        </w:rPr>
        <w:tab/>
        <w:t>5312.3, Student Smoking</w:t>
      </w:r>
    </w:p>
    <w:p w:rsidR="007F20C5" w:rsidRDefault="007F20C5" w:rsidP="007F20C5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9530, Smoking by Staff</w:t>
      </w:r>
    </w:p>
    <w:p w:rsidR="007F20C5" w:rsidRDefault="007F20C5" w:rsidP="007F20C5">
      <w:pPr>
        <w:spacing w:after="120"/>
        <w:rPr>
          <w:sz w:val="24"/>
          <w:szCs w:val="24"/>
        </w:rPr>
      </w:pPr>
    </w:p>
    <w:p w:rsidR="007F20C5" w:rsidRPr="00930A11" w:rsidRDefault="007F20C5" w:rsidP="007F20C5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Health Law Article 13-E; §§206; 340; 347</w:t>
      </w:r>
    </w:p>
    <w:p w:rsidR="00B63A6B" w:rsidRPr="00B63A6B" w:rsidRDefault="00B63A6B" w:rsidP="00B63A6B">
      <w:pPr>
        <w:spacing w:after="120"/>
        <w:rPr>
          <w:b/>
          <w:sz w:val="24"/>
          <w:szCs w:val="24"/>
        </w:rPr>
      </w:pPr>
    </w:p>
    <w:p w:rsidR="00323CE8" w:rsidRDefault="00323CE8" w:rsidP="00323CE8">
      <w:pPr>
        <w:rPr>
          <w:sz w:val="24"/>
          <w:szCs w:val="24"/>
        </w:rPr>
      </w:pPr>
    </w:p>
    <w:p w:rsidR="005000B2" w:rsidRDefault="005000B2" w:rsidP="00323CE8">
      <w:pPr>
        <w:rPr>
          <w:sz w:val="24"/>
          <w:szCs w:val="24"/>
        </w:rPr>
      </w:pPr>
    </w:p>
    <w:p w:rsidR="00C84ECE" w:rsidRDefault="00C84ECE" w:rsidP="00DE3C26">
      <w:pPr>
        <w:rPr>
          <w:sz w:val="24"/>
          <w:szCs w:val="24"/>
        </w:rPr>
      </w:pPr>
    </w:p>
    <w:p w:rsidR="000D7683" w:rsidRPr="000D7683" w:rsidRDefault="00F509E5" w:rsidP="008B17E8">
      <w:pPr>
        <w:rPr>
          <w:b/>
          <w:sz w:val="24"/>
          <w:szCs w:val="24"/>
        </w:rPr>
      </w:pPr>
      <w:r>
        <w:rPr>
          <w:sz w:val="24"/>
          <w:szCs w:val="24"/>
        </w:rPr>
        <w:t>Adopted: 04/19</w:t>
      </w:r>
      <w:r w:rsidR="001D3D1B">
        <w:rPr>
          <w:sz w:val="24"/>
          <w:szCs w:val="24"/>
        </w:rPr>
        <w:t>/199</w:t>
      </w:r>
      <w:r w:rsidR="008B17E8">
        <w:rPr>
          <w:sz w:val="24"/>
          <w:szCs w:val="24"/>
        </w:rPr>
        <w:t>3</w:t>
      </w: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49F"/>
    <w:multiLevelType w:val="hybridMultilevel"/>
    <w:tmpl w:val="F46A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56D"/>
    <w:multiLevelType w:val="hybridMultilevel"/>
    <w:tmpl w:val="7B3A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7DCB"/>
    <w:multiLevelType w:val="hybridMultilevel"/>
    <w:tmpl w:val="03B6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6479"/>
    <w:multiLevelType w:val="hybridMultilevel"/>
    <w:tmpl w:val="45EE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002E"/>
    <w:multiLevelType w:val="hybridMultilevel"/>
    <w:tmpl w:val="0B46C4C4"/>
    <w:lvl w:ilvl="0" w:tplc="5300A5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974D8"/>
    <w:rsid w:val="000D7683"/>
    <w:rsid w:val="00157E99"/>
    <w:rsid w:val="001A100F"/>
    <w:rsid w:val="001B1429"/>
    <w:rsid w:val="001D3D1B"/>
    <w:rsid w:val="00276971"/>
    <w:rsid w:val="00323CE8"/>
    <w:rsid w:val="00354F9C"/>
    <w:rsid w:val="005000B2"/>
    <w:rsid w:val="00546DB0"/>
    <w:rsid w:val="00627441"/>
    <w:rsid w:val="006A2B5A"/>
    <w:rsid w:val="006B49C1"/>
    <w:rsid w:val="006F1281"/>
    <w:rsid w:val="00723608"/>
    <w:rsid w:val="007452AF"/>
    <w:rsid w:val="007F20C5"/>
    <w:rsid w:val="0082177E"/>
    <w:rsid w:val="0087637E"/>
    <w:rsid w:val="008B17E8"/>
    <w:rsid w:val="00930A11"/>
    <w:rsid w:val="00934C39"/>
    <w:rsid w:val="00AD2AD6"/>
    <w:rsid w:val="00B218BB"/>
    <w:rsid w:val="00B63A6B"/>
    <w:rsid w:val="00C84ECE"/>
    <w:rsid w:val="00DB2F2B"/>
    <w:rsid w:val="00DE3C26"/>
    <w:rsid w:val="00E92FB2"/>
    <w:rsid w:val="00EC3A39"/>
    <w:rsid w:val="00F3486E"/>
    <w:rsid w:val="00F509E5"/>
    <w:rsid w:val="00F64464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jgill</dc:creator>
  <cp:lastModifiedBy>Evelyn</cp:lastModifiedBy>
  <cp:revision>2</cp:revision>
  <dcterms:created xsi:type="dcterms:W3CDTF">2012-02-27T04:27:00Z</dcterms:created>
  <dcterms:modified xsi:type="dcterms:W3CDTF">2012-02-27T04:27:00Z</dcterms:modified>
</cp:coreProperties>
</file>